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"Медицинский 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02:12 МСК · База обновлена: 25.07.2026, 02:10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"Медицинский 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57 лет. Поступила в стационар для прохождения курса восстановительного лечения. Лечащим врачом направлена на консультацию к нейропсихологу.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После ДТП у пациентки нарушилась речь: трудно начинать произносить фразы и отдельные слова, появились многочисленные запинки, «застревания» на каком-либо звуке и оговорки. Аналогичные трудности возникают при чтении и письме, заметно ухудшился почерк и скорость письма.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попала в дорожно-транспортное происшествие, и в результате лобового столкновения с другой машиной получила травму передних отделов головного мозга. В течение месяца после ДТП у пациентки отмечались трудности при осуществлении движений правой рукой, которые постепенно прошли. В настоящее время трудности возникают только в процессе письма.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 (полностью отказалась от алкоголя после аварии);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продавец-консультант;</w:t>
      </w:r>
    </w:p>
    <w:p>
      <w:pPr>
        <w:spacing w:after="58"/>
      </w:pPr>
      <w:r>
        <w:rPr>
          <w:b w:val="0"/>
          <w:i w:val="0"/>
        </w:rPr>
        <w:t>* не замужем, имеет взрослую дочь;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Пациентка направлена на нейропсихологическую диагностику. В процессе обследования нейропсихолог выявил лёгкую форму афазии и аграфии.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данной пациентки наблюдается +______________+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семантическая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эфферентная моторная</w:t>
      </w:r>
    </w:p>
    <w:p>
      <w:pPr>
        <w:ind w:left="504"/>
      </w:pPr>
      <w:r>
        <w:rPr>
          <w:b w:val="0"/>
          <w:i/>
        </w:rPr>
        <w:t>Многочисленные запинки, «застревания» на каком-либо звуке и оговорки характерны для эфферентной моторной афазии.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«Застревания» и запинки в речи, на которые жалуется пациентка, называются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паралексии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эхолалии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персеверации</w:t>
      </w:r>
    </w:p>
    <w:p>
      <w:pPr>
        <w:ind w:left="504"/>
      </w:pPr>
      <w:r>
        <w:rPr>
          <w:b w:val="0"/>
          <w:i/>
        </w:rPr>
        <w:t>Персеверации в речи проявляются в виде запинок, застреваний на предыдущем элементе слова.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Данная форма афазии обычно наблюдается при поражении +__________________________+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медио-базальных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нижней премоторной области лобной коры правого полушария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нижней премоторной области лобной коры левого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префронтальных отделов лобной коры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нижней премоторной области лобной коры левого полушария</w:t>
      </w:r>
    </w:p>
    <w:p>
      <w:pPr>
        <w:ind w:left="504"/>
      </w:pPr>
      <w:r>
        <w:rPr>
          <w:b w:val="0"/>
          <w:i/>
        </w:rPr>
        <w:t>Эфферентная моторная афазия (афазия Брока) наблюдается при поражении задней части третьей лобной извилины (44 поле или зона Брока).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данной формой афазии может сочетаться +______________+ форма апраксии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кинестетическая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регуляторная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кинетическая</w:t>
      </w:r>
    </w:p>
    <w:p>
      <w:pPr>
        <w:ind w:left="504"/>
      </w:pPr>
      <w:r>
        <w:rPr>
          <w:b w:val="0"/>
          <w:i/>
        </w:rPr>
        <w:t>В основе эфферентной моторной афазии и кинетической апраксии лежит нарушение одного фактора (кинетического).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данной форме афазии написание слова «Сталь» с наибольшей вероятностью будет выглядеть таким образом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«аль»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«слт»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«сталь»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«заль»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«слт»</w:t>
      </w:r>
    </w:p>
    <w:p>
      <w:pPr>
        <w:ind w:left="504"/>
      </w:pPr>
      <w:r>
        <w:rPr>
          <w:b w:val="0"/>
          <w:i/>
        </w:rPr>
        <w:t>Приведенный пример демонстрирует проявления элементарных персевераций в письме, характерных при данной форме афазии.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при выполнении пробы «кулак-ребро-ладонь» могут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упроченные двигательные стереотипы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развороты кисти ладонью от себя при постановке её на ребро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элементарные персеверации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элементарные персеверации</w:t>
      </w:r>
    </w:p>
    <w:p>
      <w:pPr>
        <w:ind w:left="504"/>
      </w:pPr>
      <w:r>
        <w:rPr>
          <w:b w:val="0"/>
          <w:i/>
        </w:rPr>
        <w:t>Для синдрома, связанного с поражением кинетического фактора, одним из базовых симптомов являются элементарные персеверации.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основе данного вида афазии лежит нарушение +_____________+ нейропсихологического фактора (по А.Р. Лурии)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кинестетического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пространственного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регуляторного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кинетического</w:t>
      </w:r>
    </w:p>
    <w:p>
      <w:pPr>
        <w:ind w:left="504"/>
      </w:pPr>
      <w:r>
        <w:rPr>
          <w:b w:val="0"/>
          <w:i/>
        </w:rPr>
        <w:t>В основе эфферентной моторной афазии лежит нарушение кинетического фактора.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данной форме афазии в импрессивной речи пациентки может наблюдаться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нарушений понимания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понимания переносного смысла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трудность различения похожих по звучанию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трудность различения похожих по произношению слов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отсутствие нарушений понимания речи</w:t>
      </w:r>
    </w:p>
    <w:p>
      <w:pPr>
        <w:ind w:left="504"/>
      </w:pPr>
      <w:r>
        <w:rPr>
          <w:b w:val="0"/>
          <w:i/>
        </w:rPr>
        <w:t>Для эфферентной моторной афазии характерна преимущественная сохранность понимания речи.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описанной пациентки в чтении будут наблюдаться такие ошибки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чтение текста, написанного в правой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«угадывающее» чтение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слияния звуков в слог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чтение текста, написанного в левой части листа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слияния звуков в слог</w:t>
      </w:r>
    </w:p>
    <w:p>
      <w:pPr>
        <w:ind w:left="504"/>
      </w:pPr>
      <w:r>
        <w:rPr>
          <w:b w:val="0"/>
          <w:i/>
        </w:rPr>
        <w:t>При эфферентной моторной афазии элементарные персеверации проявляются не только в устной речи, но и при чтении.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описываемой пациентки, необходимо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повторение слогов «би-ба-бо»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Хэда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локализацию прикосновений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Тойбера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повторение слогов «би-ба-бо»</w:t>
      </w:r>
    </w:p>
    <w:p>
      <w:pPr>
        <w:ind w:left="504"/>
      </w:pPr>
      <w:r>
        <w:rPr>
          <w:b w:val="0"/>
          <w:i/>
        </w:rPr>
        <w:t>При премоторном синдроме, наблюдаемом у данной пациентки, в первую очередь, страдает динамический праксис.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структуре нейропсихологического синдрома данной пациентки можно видеть трудности решения арифметических задач в виде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«застревания» на первоначально выполненных действиях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непонимания содержания задачи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первичной акалькулии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импульсивно совершаемых арифметических действий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«застревания» на первоначально выполненных действиях</w:t>
      </w:r>
    </w:p>
    <w:p>
      <w:pPr>
        <w:ind w:left="504"/>
      </w:pPr>
      <w:r>
        <w:rPr>
          <w:b w:val="0"/>
          <w:i/>
        </w:rPr>
        <w:t>«В структуре синдрома можно видеть трудности решения арифметических задач в виде застревания больного на первоначально выполненных действиях, препятствующего переходу к последующим…»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пробах на произвольное запоминание у данной пациентки, в первую очередь, будут наблюдаться ошибки по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называний слов из других заданий (проб)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побочных вплетений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инертных повторений предшествующих стимулов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грубого снижения объема непосредственного воспроизведения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инертных повторений предшествующих стимулов</w:t>
      </w:r>
    </w:p>
    <w:p>
      <w:pPr>
        <w:ind w:left="504"/>
      </w:pPr>
      <w:r>
        <w:rPr>
          <w:b w:val="0"/>
          <w:i/>
        </w:rPr>
        <w:t>« В задачах на произвольное запоминание у больных этой группы наблюдается феномен проактивного торможения, состоящий в том, что запоминание и воспроизведение предшествующего материала отрицательно влияет на запоминание и воспроизведение последующих стимулов, замещая их в случае грубо выраженной патологической инертности»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"Медицинский 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64 года. Находится в стационаре в связи с реабилитацией последствий геморрагического инсульта.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Пациент жалобы отрицает. Со слов супруги: ярко выражены трудности с памятью, с трудом вспоминает имена некоторых родных, периодически затрудняется ответить на вопрос о собственном возрасте, воспоминания о прошлом носят избирательный и фрагментарный характер, не помнит номера телефонов, которые раньше знал наизусть, в процессе разговора может забыть, о чем говорил; рассеян, часто теряет вещи, забывает зачем вышел на улицу; «часто срывается на меня, сильно злится без видимых причин, говорит обидные вещи. Но до этого было хуже»; «Очень быстро устает, постоянно спит».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Наследственность психопатологически не отягощена. Вентрикулярная геморрагия за 7 месяцев до ситуации обследования. В острейшем периоде инсульта перенесен сопор (продолжительностью двое суток, оценка по шкале Глазго - 10). Острый период характеризовался в том числе наличием продуктивной психопатологической симптоматики – бред ревности, зрительные галлюцинации («стены горят, осторожно!», «вон туча пауков по потолку бегает»). Результаты последнего экспериментально-психологического исследования (за 2.5 месяца до настоящего): наличие аттентивно-мнестических нарушений, выраженная эмоциональная лабильность (недержание аффекта), депрессивная симптоматика, высокий уровень утомляемости.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Раннее развитие без особенностей. Образование высшее, техническое. Стаж работы 40 лет. Женат, трое детей. Хронические заболевания: АГ 2-й степени.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Не полностью ориентирован в месте и времени. Контакт с пациентом затруднен в связи с низким уровнем мотивированности к обследованию, трудностью аттентивно-мнестической деятельности. Работоспособность в ситуации обследования низкая, выражена истощаемость. Общий темп сенсомоторных реакций снижен. Выполнение заданий с элементами импульсивности, на коррекцию ошибок и помощь реагирует раздражением. Эмоциональный фон снижен, эмоциональные реакции малонюансированы. Мимика монотонна.</w:t>
      </w:r>
    </w:p>
    <w:p>
      <w:pPr>
        <w:spacing w:after="58"/>
      </w:pPr>
      <w:r>
        <w:rPr>
          <w:b w:val="0"/>
          <w:i w:val="0"/>
        </w:rPr>
        <w:t>По объективным данным обследования.</w:t>
      </w:r>
    </w:p>
    <w:p>
      <w:pPr>
        <w:spacing w:after="58"/>
      </w:pPr>
      <w:r>
        <w:rPr>
          <w:b w:val="0"/>
          <w:i w:val="0"/>
        </w:rPr>
        <w:t>1) Оценка внимания:</w:t>
      </w:r>
    </w:p>
    <w:p>
      <w:pPr>
        <w:spacing w:after="58"/>
      </w:pPr>
      <w:r>
        <w:rPr>
          <w:b w:val="0"/>
          <w:i w:val="0"/>
        </w:rPr>
        <w:t>* результаты пробы Шульте: 64 секунды, 62 секунды, 67 секунд, 69 секунд, 76 секунд</w:t>
      </w:r>
    </w:p>
    <w:p>
      <w:pPr>
        <w:spacing w:after="58"/>
      </w:pPr>
      <w:r>
        <w:rPr>
          <w:b w:val="0"/>
          <w:i w:val="0"/>
        </w:rPr>
        <w:t>* методика отсчитывания: 93...85…78..71…65…59…52…45…37..30…23….17…10..3</w:t>
      </w:r>
    </w:p>
    <w:p>
      <w:pPr>
        <w:spacing w:after="58"/>
      </w:pPr>
      <w:r>
        <w:rPr>
          <w:b w:val="0"/>
          <w:i w:val="0"/>
        </w:rPr>
        <w:t>2) Оценка памяти:</w:t>
      </w:r>
    </w:p>
    <w:p>
      <w:pPr>
        <w:spacing w:after="58"/>
      </w:pPr>
      <w:r>
        <w:rPr>
          <w:b w:val="0"/>
          <w:i w:val="0"/>
        </w:rPr>
        <w:t>* 10 слов: 3-4-4-4; отсроченное воспроизведение – 2.</w:t>
      </w:r>
    </w:p>
    <w:p>
      <w:pPr>
        <w:spacing w:after="58"/>
      </w:pPr>
      <w:r>
        <w:rPr>
          <w:b w:val="0"/>
          <w:i w:val="0"/>
        </w:rPr>
        <w:t>* повторение цифр: в прямом порядке – 4, в обратном порядке - 3</w:t>
      </w:r>
    </w:p>
    <w:p>
      <w:pPr>
        <w:spacing w:after="58"/>
      </w:pPr>
      <w:r>
        <w:rPr>
          <w:b w:val="0"/>
          <w:i w:val="0"/>
        </w:rPr>
        <w:t>3) Мышление:</w:t>
      </w:r>
    </w:p>
    <w:p>
      <w:pPr>
        <w:spacing w:after="58"/>
      </w:pPr>
      <w:r>
        <w:rPr>
          <w:b w:val="0"/>
          <w:i w:val="0"/>
        </w:rPr>
        <w:t>* Исключение четвертого лишнего: арбуз-тарелка-нож-чашка – «чашка лишняя. В ней же арбуз не нарежешь. Надо нож взять и на тарелке порезать»; весы-очки-часы-градусник –«весы наверное, все остальную тут в больнице есть, вот очки на Вас»; часы с маятником-будильник-наручные часы-монета – «монета лишняя, она маленькая очень. Или часы с маятником. Они наоборот - большие очень. Не знаю».</w:t>
      </w:r>
    </w:p>
    <w:p>
      <w:pPr>
        <w:spacing w:after="58"/>
      </w:pPr>
      <w:r>
        <w:rPr>
          <w:b w:val="0"/>
          <w:i w:val="0"/>
        </w:rPr>
        <w:t>* Пословицы и поговорки: Не в свои сани не садись – «Ну сани же чужие. Не надо чужого»; Цыплят по осени считают – «Считать надо тогда, когда время приходит. Не опоздать».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основании объективных данных у пациента высшая психическая функция внимания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колебаниями уровня концентрации и объема внимания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нормативным объемом внимания с колебаниями концентрации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отсутствием нарушений внимания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сужением объема произвольного внимания, истощаемостью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сужением объема произвольного внимания, истощаемостью</w:t>
      </w:r>
    </w:p>
    <w:p>
      <w:pPr>
        <w:ind w:left="504"/>
      </w:pPr>
      <w:r>
        <w:rPr>
          <w:b w:val="0"/>
          <w:i/>
        </w:rPr>
        <w:t>Методика «Таблицы Шульте» применяется для исследования темпа сенсомоторных реакций и особенностей внимания. Исследование производится с помощью специальных таблиц. Обычно здоровые об следуемые ведут поиск чисел в таблицах равномерно, а иногда даже наблюдается у них ускорение темпа сенсомоторных реакций в последующих таблицах. Если же поиск ведется неравномерно, то следует уточнить характер этого явления — признак ли это повышенной истощаемости или запоздалой врабатываемости</w:t>
        <w:br/>
        <w:br/>
        <w:t>Методика «Отсчитывание» была предложена Е. Kraepelin. При исследовании ею обнаруживаются возможности осуществления испытуемым счетных операций, состояние внимания. При наличии повышенной истощаемости длительность пауз в конце, несмотря на то что задание становится более легким, увеличивается.</w:t>
        <w:br/>
        <w:br/>
        <w:t>Блейхер В. М., Крук И. В., Боков С. Н. Клиническая патопсихология: Руководство для врачей и клинических психологов. — М.: Издательство Московского психолого-социального института; Воронеж: Издательство НПО «МОДЭК», 2002.- с.60-63</w:t>
        <w:br/>
        <w:br/>
      </w:r>
      <w:hyperlink r:id="rId32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объективных данных высшая психическая функция памяти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незначительным снижением мнестических показателей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нормативными показателями мнестической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отсутствием нарушений мнестических процессов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снижением показателя непосредственного запоминания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снижением показателя непосредственного запоминания</w:t>
      </w:r>
    </w:p>
    <w:p>
      <w:pPr>
        <w:ind w:left="504"/>
      </w:pPr>
      <w:r>
        <w:rPr>
          <w:b w:val="0"/>
          <w:i/>
        </w:rPr>
        <w:t>Методика «Заучивание десяти слов» - обследуемому зачитывают 10 двухсложных слов. Обычно здоровые обследуемые воспроизводят 10 слов уже после 3-4 повторений (иногда, при тренированной памяти — после 2 повторений). Через 20-30 мин обследуемого просят повторить запомнившиеся ему слова</w:t>
        <w:br/>
        <w:br/>
        <w:t>Блейхер В. М., Крук И. В., Боков С. Н. Клиническая патопсихология: Руководство для врачей и клинических психологов. — М.: Издательство Московского психолого-социального института; Воронеж: Издательство НПО «МОДЭК», 2002.- с.71-72, 116-117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объективных данных высшая психическая функция мышления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нарушением способности произвольной саморегуляции динамической стороны мышления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нарушением операциональной стороны мышления по типу искажения процесса обобщения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нарушением операциональной стороны мышления по типу снижения процесса обобщения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динамических, мотивационных и операциональных нарушений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нарушением операциональной стороны мышления по типу снижения процесса обобщения</w:t>
      </w:r>
    </w:p>
    <w:p>
      <w:pPr>
        <w:ind w:left="504"/>
      </w:pPr>
      <w:r>
        <w:rPr>
          <w:b w:val="0"/>
          <w:i/>
        </w:rPr>
        <w:t>Методика «Исключение 4-го лишнего» направлена на оценку способности к понятийному мышлению: обобщению и абстрагированию, умению выделять существенные признаки.</w:t>
        <w:br/>
        <w:br/>
        <w:t>Методика «Толкование пословиц» применяется для исследования мышления больных. Выявляет понимание переносного смысла, умение вычленить главную мысль во фразе конкретного содержания, а также дифференцированность, целенаправленность суждений больных. Разработана Б. В. Зейгарник.</w:t>
        <w:br/>
        <w:br/>
        <w:t>Зейгарник Б. В. Патопсихология: учебник для академического бакалавриата / Б. В. Зейгарник. — 3-е изд., перераб. и доп. — М. : Издательство Юрайт, 2019. – С. 224</w:t>
        <w:br/>
        <w:br/>
        <w:t>Худик В.А. Психологические методики исследования интеллекта и личности: Исключение предметов. – К.: Здоровье, 1994. – 28 с.</w:t>
        <w:br/>
        <w:br/>
        <w:t>Блейхер В. М., Крук И. В., Боков С. Н. Клиническая патопсихология: Руководство для врачей и клинических психологов. — М.: Издательство Московского психолого-социального института; Воронеж: Издательство НПО «МОДЭК», 2002.- с.71-72, 116-117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Система выявленных в ходе экспериментально-психологического исследования симптомов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личностно-аномальному патопсихологическому симптомокомплексу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органическому патопсихологическому симптомокомплексу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аффективно-эндогенному патопсихологическому синдрому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шизофреническому патопсихологическому симптомокомплексу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органическому патопсихологическому симптомокомплексу</w:t>
      </w:r>
    </w:p>
    <w:p>
      <w:pPr>
        <w:ind w:left="504"/>
      </w:pPr>
      <w:r>
        <w:rPr>
          <w:b w:val="0"/>
          <w:i/>
        </w:rPr>
        <w:t>В ходе патопсихологического обследования прослеживается снижение когнитивных функций пациента в рамках умеренных когнитивных снижений и умеренной лобной дисфункции. Показатели активного внимания незначительно снижены. Мнестическая деятельность с нарушениями. Со стороны мышления отмечается снижение понятийного уровня до конкретно-ситуативного и мотивационно-личностного компонента в виде множественных соскальзываний на побочные ассоциации и искажения ассоциативного процесса, с ошибочными умозаключениями, опирающимися на внутреннюю субъективную логику пациента, малодоступными коррекции. Эмоциональный фон несколько снижен, эмоциональные реакции ситуативно негативно заострены, эмоционально однообразен. Произвольный контроль и критика снижены.</w:t>
        <w:br/>
        <w:br/>
        <w:t>Описанная клиническая картина соответствует органическому патопсихологическому симптомокомплексу.</w:t>
        <w:br/>
        <w:br/>
        <w:t>Соловьева, С.Л. Патопсихологические синдромы: учебно-методическое пособие / С.Л. Соловьева. – СПб.: Изд-во СЗГМУ им. И.И. Мечникова, 2012. – Стр. 35-42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Сложившаяся ситуация предполагает для пациента прогноз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зависящий от климатических условий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благоприятный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зависящий от включенности в общественную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скорее неблагоприятный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скорее неблагоприятный</w:t>
      </w:r>
    </w:p>
    <w:p>
      <w:pPr>
        <w:ind w:left="504"/>
      </w:pPr>
      <w:r>
        <w:rPr>
          <w:b w:val="0"/>
          <w:i/>
        </w:rPr>
        <w:t>Сосудистое слабоумие развивается вследствие деструктивного поражения головного мозга, вызванного нарушениями мозгового кровообращения. Связь деменции и с сосудистым поражение головного мозга подтверждается ее развитием непосредственно после инсульта или после преходящих нарушений мозгового кровообращения, при ее относительной стабилизации без повторных расстройств мозгового кровообращения, а также совпадением психопатологической и нейропсихопатологической структуры деменции с локализацией сосудистого поражения мозга. Прогноз. Несмотря на то, что сосудистая форма деменций чаще всего не достигает степени глубокого психического распада, средние сроки выживания больных с сосудистым слабоумием короче, чем с альцгеймеровской деменцией. Развитие деменций после инсульта само по себе является неблагоприятным прогностическим фактором.</w:t>
        <w:br/>
        <w:br/>
        <w:t>Тиганов А. С. и др. Руководство по психиатрии //М.: Медицина. – 1999. – Т. 2. – С. 134-143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Нарушения восприятия, приведенные в описании анамнеза заболевания, скорее могут быть классифицированы как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истинные галлюцинации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псевдогаллюцинации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иллюзии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ошибки узнавания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истинные галлюцинации</w:t>
      </w:r>
    </w:p>
    <w:p>
      <w:pPr>
        <w:ind w:left="504"/>
      </w:pPr>
      <w:r>
        <w:rPr>
          <w:b w:val="0"/>
          <w:i/>
        </w:rPr>
        <w:t>Зрительные галлюцинации имеют место у четверти – половины больных на стадии мягкой-умеренной деменции и еще более часто (до 80%) – на стадии тяжелой деменции. Они имеют характер истинных галлюцинаций, часто индифферентных по содержанию. Больные «видят» несуществующих людей, животных, птиц, насекомых. Иногда галлюциноз носит сценоподобный характер.</w:t>
        <w:br/>
        <w:br/>
        <w:t>Колыхалов И.В. Лечение поведенческих и психотических симптомов деменции во внебольничных условиях. Методические рекомендации. Под редакцией проф., д.м.н. Гавриловой С.И., ФГБУ «Научный центр психического здоровья» РАМН, М., 2012. – С. 7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программу реабилитации  описанного пациента с учетом результатов экспериментально-психологического исследования в первую очередь должен быть включен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социально-психологический тренинг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тренинг ассертивности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когнитивный тренинг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тренинг сенситивности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когнитивный тренинг</w:t>
      </w:r>
    </w:p>
    <w:p>
      <w:pPr>
        <w:ind w:left="504"/>
      </w:pPr>
      <w:r>
        <w:rPr>
          <w:b w:val="0"/>
          <w:i/>
        </w:rPr>
        <w:t>Важное место в профилактике когнитивных нарушений у пожилых людей с деменцией занимают упражнения, направленные на тренировку познавательных функций (когнитивный тренинг).</w:t>
        <w:br/>
        <w:br/>
        <w:t>Пекарска И., Пекарски В., Ткачёва О.Н., Мхитарян Э.А., Чердак М.А. Когнитивный тренинг: упражнение интеллекта и речи в пожилом возрасте. — М.: Издательство Перо, 2021. – С.55.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Психологическая помощь, необходимая семье больного, в первую очередь должна включать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психотерапевтическую помощь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информирование, эмоциональную и практическую поддержку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психологическую реабилитацию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психокоррекционную помощь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информирование, эмоциональную и практическую поддержку</w:t>
      </w:r>
    </w:p>
    <w:p>
      <w:pPr>
        <w:ind w:left="504"/>
      </w:pPr>
      <w:r>
        <w:rPr>
          <w:b w:val="0"/>
          <w:i/>
        </w:rPr>
        <w:t>Те, кто вплотную занимается уходом за людьми, страдающими деменцией, нуждаются в трёх видах помощи: полной и надёжной информации, практической поддержке и эмоциональной поддержке.</w:t>
        <w:br/>
        <w:br/>
        <w:t>Психиатрия пожилого возраста: в 2 т. Т2: пер. с англ. / Под гл. ред. В. Позняка. – К.: Сфера, 2003. – С.144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учетом избирательности и фрагментарности воспоминаний о прошлом пациента  в качестве основных видов терапии могут быть назначены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ориентация в реальности, реминисцентная и валидизационная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мнестический тренинг, нейро-лингвистическое программирование и мотивационное интервью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личностно-ориентированная и семейная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экзистенциальная психотерапия, гештальт-терапия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ориентация в реальности, реминисцентная и валидизационная терапия</w:t>
      </w:r>
    </w:p>
    <w:p>
      <w:pPr>
        <w:ind w:left="504"/>
      </w:pPr>
      <w:r>
        <w:rPr>
          <w:b w:val="0"/>
          <w:i/>
        </w:rPr>
        <w:t>Основными видами лечения, разработанными преимущественно для клиентов позднего возраста, являются ориентация в реальности (reality orientation - RO), реминисцентная терапия (reminiscence theгару) валидизационная терапия (validation therapy).</w:t>
        <w:br/>
        <w:br/>
        <w:t>Психиатрия пожилого возраста: в 2 т. 12: пер. с англ. / Под гл. ред. В. Позняка. – К.: Сфера, 2003. – С.274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Двумя основными мишенями в развитии функции внимания в рамках когнитивного тренинга для данного пациента (с учетом результатов экспериментально-психологического обследования) являются +______________+ внимания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объем и концентрация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избирательность и переключаемость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переключаемость и интенсивность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интенсивность и избирательность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объем и концентрация</w:t>
      </w:r>
    </w:p>
    <w:p>
      <w:pPr>
        <w:ind w:left="504"/>
      </w:pPr>
      <w:r>
        <w:rPr>
          <w:b w:val="0"/>
          <w:i/>
        </w:rPr>
        <w:t>Нейрокогнитивный тренинг внимания</w:t>
        <w:br/>
        <w:br/>
        <w:t>Тренинговые упражнения:</w:t>
        <w:br/>
        <w:br/>
        <w:t>- тренировка объёма внимания;</w:t>
        <w:br/>
        <w:br/>
        <w:t>- тренировка концентрации внимания;</w:t>
        <w:br/>
        <w:br/>
        <w:t>- тренировка интенсивности внимания;</w:t>
        <w:br/>
        <w:br/>
        <w:t>- тренировка переключения внимания;</w:t>
        <w:br/>
        <w:br/>
        <w:t>- тренировка избирательности внимания.</w:t>
        <w:br/>
        <w:br/>
        <w:t>Ильницкий А.Н. Раннее выявление и профилактика деменции у граждан пожилого возраста в практике учреждений социальной защиты. Методические рекомендации. Белгород, 2017. – С. 15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Психотерапевтическая помощь для данного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невозможной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желательной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нежелательной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обязательной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желательной</w:t>
      </w:r>
    </w:p>
    <w:p>
      <w:pPr>
        <w:ind w:left="504"/>
      </w:pPr>
      <w:r>
        <w:rPr>
          <w:b w:val="0"/>
          <w:i/>
        </w:rPr>
        <w:t>К неспецифическому лечению мы относим и общую недифференцированную психотерапию. Помимо создания щадящей обстановки и «психогигиенического климата» с умеренно активизирующим режимом, с психически больными в позднем возрасте должна проводиться коллективная, групповая и индивидуальная психотерапия. Известно, что люди в позднем возрасте внушаемы и хорошо гипнабельны, поэтому умело проведенные беседы с умеренно оптимистическими предсказаниями и, хотя и скромными, но обнадеживающими перспективами дают хороший эффект. Знание индивидуальной ситуации каждого больного позволяет психотерапевту коснуться и «больных пунктов» отдельных больных.</w:t>
        <w:br/>
        <w:br/>
        <w:t>В исследовательской литературе отмечается важность немедикаментозного лечения (сосудистой деменции), включающего применение арт-терапии, музыкотерапии, которые выполняют образовательные, развивающие, терапевтические задачи</w:t>
        <w:br/>
        <w:br/>
        <w:t>Авербух Е. С. Расстройства психической деятельности в позднем возрасте: Психиатрический аспект геронтологии и гериатрии. 1969</w:t>
        <w:br/>
        <w:br/>
        <w:t>Красильников Г.Т. и др. Актуальные диагностические и судебно-психиатрические аспекты сосудистой деменции. Социальная и клиническая психиатрия. – 2020, т. 30 №4.- С. 105</w:t>
      </w:r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Главными подходами, которые используются в терапии занятостью,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биоэтический подход в сочетании с теорией научения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психоаналитический и гуманистический подходы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гуманистический подход, когнитивная и арт-терапия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теория научения, психодинамический и гуманистический подходы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теория научения, психодинамический и гуманистический подходы</w:t>
      </w:r>
    </w:p>
    <w:p>
      <w:pPr>
        <w:ind w:left="504"/>
      </w:pPr>
      <w:r>
        <w:rPr>
          <w:b w:val="0"/>
          <w:i/>
        </w:rPr>
        <w:t>В терапии занятостью существуют четыре главных подхода:  бихевиоральный подход, базирующийся главным образом на теории научения; психодинамический подход; подход с точки зрения развития, вытекающий из теорий развития человека; гуманистический подход.</w:t>
        <w:br/>
        <w:br/>
        <w:t>Психиатрия пожилого возраста: в 2 т. Т1: пер. с англ. / Под гл. ред. В. Позняка. – К.: Сфера, 2003. – С.314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"Медицинский 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ehabilitation_patients/?anchor=paragraph_mn1g60#paragraph_mn1g60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Luria_Vys/?anchor=paragraph_39g3s2#paragraph_39g3s2" TargetMode="External"/><Relationship Id="rId24" Type="http://schemas.openxmlformats.org/officeDocument/2006/relationships/hyperlink" Target="https://library.mededtech.ru/rest/documents/Luria_Vys/?anchor=paragraph_0iaier#paragraph_0iaier" TargetMode="External"/><Relationship Id="rId25" Type="http://schemas.openxmlformats.org/officeDocument/2006/relationships/hyperlink" Target="https://library.mededtech.ru/rest/documents/Luria_Vys/?anchor=pic63#pic63" TargetMode="External"/><Relationship Id="rId26" Type="http://schemas.openxmlformats.org/officeDocument/2006/relationships/image" Target="media/image7.png"/><Relationship Id="rId27" Type="http://schemas.openxmlformats.org/officeDocument/2006/relationships/hyperlink" Target="https://library.mededtech.ru/rest/documents/Luria_Vys/?anchor=paragraph_ovbkm0#paragraph_ovbkm0" TargetMode="External"/><Relationship Id="rId28" Type="http://schemas.openxmlformats.org/officeDocument/2006/relationships/hyperlink" Target="https://library.mededtech.ru/rest/documents/Luria_Vys/?anchor=paragraph_qgg5d6#paragraph_qgg5d6" TargetMode="External"/><Relationship Id="rId29" Type="http://schemas.openxmlformats.org/officeDocument/2006/relationships/hyperlink" Target="https://library.mededtech.ru/rest/documents/rehabilitation_patients/?anchor=paragraph_pd2pr3#paragraph_pd2pr3" TargetMode="External"/><Relationship Id="rId30" Type="http://schemas.openxmlformats.org/officeDocument/2006/relationships/hyperlink" Target="https://library.mededtech.ru/rest/documents/Luria_Vys/?anchor=paragraph_958ao5#paragraph_958ao5" TargetMode="External"/><Relationship Id="rId31" Type="http://schemas.openxmlformats.org/officeDocument/2006/relationships/hyperlink" Target="https://library.mededtech.ru/rest/documents/Luria_Vys/?anchor=paragraph_dpcplr#paragraph_dpcplr" TargetMode="External"/><Relationship Id="rId32" Type="http://schemas.openxmlformats.org/officeDocument/2006/relationships/hyperlink" Target="https://library.mededtech.ru/rest/documents/Bleikher_patopsik/?anchor=paragraph_6v8b46#paragraph_6v8b46" TargetMode="External"/><Relationship Id="rId33" Type="http://schemas.openxmlformats.org/officeDocument/2006/relationships/hyperlink" Target="https://library.mededtech.ru/rest/documents/Bleikher_patopsik/?anchor=paragraph_gn2j66#paragraph_gn2j66" TargetMode="External"/><Relationship Id="rId34" Type="http://schemas.openxmlformats.org/officeDocument/2006/relationships/hyperlink" Target="https://library.mededtech.ru/rest/documents/Bleikher_patopsik/?anchor=paragraph_n4p1d7#paragraph_n4p1d7" TargetMode="External"/><Relationship Id="rId35" Type="http://schemas.openxmlformats.org/officeDocument/2006/relationships/hyperlink" Target="https://library.mededtech.ru/rest/documents/Bleikher_patopsik/?anchor=paragraph_gq9lk6#paragraph_gq9lk6" TargetMode="External"/><Relationship Id="rId36" Type="http://schemas.openxmlformats.org/officeDocument/2006/relationships/hyperlink" Target="https://library.mededtech.ru/rest/documents/ISBN9785970466728/?anchor=paragraph_r64h3o#paragraph_r64h3o" TargetMode="External"/><Relationship Id="rId37" Type="http://schemas.openxmlformats.org/officeDocument/2006/relationships/hyperlink" Target="https://library.mededtech.ru/rest/documents/library-789/?anchor=paragraph_u3td6k#paragraph_u3td6k" TargetMode="External"/><Relationship Id="rId38" Type="http://schemas.openxmlformats.org/officeDocument/2006/relationships/hyperlink" Target="https://library.mededtech.ru/rest/documents/library-790/?anchor=paragraph_g31un4#paragraph_g31un4" TargetMode="External"/><Relationship Id="rId39" Type="http://schemas.openxmlformats.org/officeDocument/2006/relationships/hyperlink" Target="https://library.mededtech.ru/rest/documents/library-792/?anchor=list_item_0a2n4l#list_item_0a2n4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